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F999" w14:textId="77777777" w:rsidR="0036197A" w:rsidRPr="00537D2E" w:rsidRDefault="00EA549D" w:rsidP="00E16F13">
      <w:pPr>
        <w:spacing w:after="0" w:line="312" w:lineRule="auto"/>
        <w:jc w:val="center"/>
        <w:rPr>
          <w:rFonts w:asciiTheme="majorBidi" w:hAnsiTheme="majorBidi" w:cstheme="majorBidi"/>
          <w:sz w:val="34"/>
          <w:szCs w:val="34"/>
          <w:lang w:val="en-US"/>
        </w:rPr>
      </w:pPr>
      <w:r w:rsidRPr="00537D2E">
        <w:rPr>
          <w:rFonts w:asciiTheme="majorBidi" w:hAnsiTheme="majorBidi" w:cstheme="majorBidi"/>
          <w:sz w:val="34"/>
          <w:szCs w:val="34"/>
          <w:lang w:val="en-US"/>
        </w:rPr>
        <w:t>Journal of Molecular Virology and Immunology</w:t>
      </w:r>
      <w:r w:rsidR="0036197A" w:rsidRPr="00537D2E">
        <w:rPr>
          <w:rFonts w:asciiTheme="majorBidi" w:hAnsiTheme="majorBidi" w:cstheme="majorBidi"/>
          <w:sz w:val="34"/>
          <w:szCs w:val="34"/>
          <w:lang w:val="en-US"/>
        </w:rPr>
        <w:t xml:space="preserve"> </w:t>
      </w:r>
    </w:p>
    <w:p w14:paraId="3A482771" w14:textId="77777777" w:rsidR="0036197A" w:rsidRPr="00340D07" w:rsidRDefault="0036197A" w:rsidP="00E16F13">
      <w:pPr>
        <w:spacing w:after="0" w:line="312" w:lineRule="auto"/>
        <w:jc w:val="center"/>
        <w:rPr>
          <w:rFonts w:asciiTheme="majorBidi" w:hAnsiTheme="majorBidi" w:cstheme="majorBidi"/>
          <w:color w:val="0070C0"/>
          <w:sz w:val="34"/>
          <w:szCs w:val="34"/>
        </w:rPr>
      </w:pPr>
      <w:r>
        <w:rPr>
          <w:rFonts w:asciiTheme="majorBidi" w:hAnsiTheme="majorBidi" w:cstheme="majorBidi"/>
          <w:color w:val="0070C0"/>
          <w:sz w:val="34"/>
          <w:szCs w:val="34"/>
        </w:rPr>
        <w:t>Telif Hakkı Devir Formu</w:t>
      </w:r>
    </w:p>
    <w:p w14:paraId="7D1DF11D" w14:textId="77777777" w:rsidR="00AA1A07" w:rsidRPr="00065784" w:rsidRDefault="00AA1A07" w:rsidP="00E16F13">
      <w:pPr>
        <w:spacing w:after="0" w:line="312" w:lineRule="auto"/>
        <w:jc w:val="both"/>
        <w:rPr>
          <w:rFonts w:asciiTheme="majorBidi" w:hAnsiTheme="majorBidi" w:cstheme="majorBidi"/>
          <w:sz w:val="6"/>
          <w:szCs w:val="6"/>
        </w:rPr>
      </w:pPr>
    </w:p>
    <w:p w14:paraId="00B7E84A" w14:textId="77777777" w:rsidR="00AD3265" w:rsidRPr="00AA1A07" w:rsidRDefault="00AD3265" w:rsidP="00E16F13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 w:rsidRPr="00C25855">
        <w:rPr>
          <w:rFonts w:asciiTheme="majorBidi" w:hAnsiTheme="majorBidi" w:cstheme="majorBidi"/>
          <w:b/>
          <w:bCs/>
          <w:sz w:val="24"/>
          <w:szCs w:val="24"/>
        </w:rPr>
        <w:t>Makale Başlığı:</w:t>
      </w:r>
      <w:r w:rsidR="00AA1A07">
        <w:rPr>
          <w:rFonts w:asciiTheme="majorBidi" w:hAnsiTheme="majorBidi" w:cstheme="majorBidi"/>
          <w:sz w:val="24"/>
          <w:szCs w:val="24"/>
        </w:rPr>
        <w:t xml:space="preserve"> </w:t>
      </w:r>
      <w:r w:rsidR="00AA1A07" w:rsidRPr="00AA1A07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.................................................................................................</w:t>
      </w:r>
      <w:r w:rsidR="00C25855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</w:t>
      </w:r>
      <w:r w:rsidR="00AA1A07" w:rsidRPr="00AA1A07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.........................</w:t>
      </w:r>
    </w:p>
    <w:p w14:paraId="2A571103" w14:textId="77777777" w:rsidR="00AD3265" w:rsidRDefault="00AA1A07" w:rsidP="00E16F13">
      <w:pPr>
        <w:spacing w:after="0" w:line="312" w:lineRule="auto"/>
        <w:jc w:val="both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AA1A07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..........................</w:t>
      </w:r>
    </w:p>
    <w:p w14:paraId="6934676C" w14:textId="77777777" w:rsidR="00AA1A07" w:rsidRPr="00192FBE" w:rsidRDefault="00AA1A07" w:rsidP="00E16F13">
      <w:pPr>
        <w:spacing w:after="0" w:line="312" w:lineRule="auto"/>
        <w:jc w:val="both"/>
        <w:rPr>
          <w:rFonts w:asciiTheme="majorBidi" w:hAnsiTheme="majorBidi" w:cstheme="majorBidi"/>
          <w:sz w:val="10"/>
          <w:szCs w:val="10"/>
          <w:lang w:val="en-US"/>
        </w:rPr>
      </w:pPr>
    </w:p>
    <w:p w14:paraId="1A707C95" w14:textId="77777777" w:rsidR="00AD3265" w:rsidRDefault="00AD3265" w:rsidP="00E16F13">
      <w:pPr>
        <w:spacing w:before="20" w:after="20" w:line="264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179C">
        <w:rPr>
          <w:rFonts w:asciiTheme="majorBidi" w:hAnsiTheme="majorBidi" w:cstheme="majorBidi"/>
          <w:b/>
          <w:bCs/>
          <w:sz w:val="24"/>
          <w:szCs w:val="24"/>
        </w:rPr>
        <w:t>Bu makalenin yazarları, aşağıda yer alan açıklama ve koşulları kabul etmektedir.</w:t>
      </w:r>
    </w:p>
    <w:p w14:paraId="68680FEE" w14:textId="77777777" w:rsidR="00E16F13" w:rsidRPr="00E16F13" w:rsidRDefault="00E16F13" w:rsidP="00E16F13">
      <w:pPr>
        <w:spacing w:before="20" w:after="20" w:line="264" w:lineRule="auto"/>
        <w:jc w:val="both"/>
        <w:rPr>
          <w:rFonts w:asciiTheme="majorBidi" w:hAnsiTheme="majorBidi" w:cstheme="majorBidi"/>
          <w:b/>
          <w:bCs/>
          <w:sz w:val="6"/>
          <w:szCs w:val="6"/>
        </w:rPr>
      </w:pPr>
    </w:p>
    <w:p w14:paraId="7B381950" w14:textId="77777777" w:rsidR="00AD3265" w:rsidRPr="00BE179C" w:rsidRDefault="00AD3265" w:rsidP="00E16F13">
      <w:pPr>
        <w:spacing w:before="20" w:after="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E179C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BE179C">
        <w:rPr>
          <w:rFonts w:asciiTheme="majorBidi" w:hAnsiTheme="majorBidi" w:cstheme="majorBidi"/>
          <w:sz w:val="24"/>
          <w:szCs w:val="24"/>
        </w:rPr>
        <w:t xml:space="preserve"> </w:t>
      </w:r>
      <w:r w:rsidR="00AA1A07" w:rsidRPr="00BE179C">
        <w:rPr>
          <w:rFonts w:asciiTheme="majorBidi" w:hAnsiTheme="majorBidi" w:cstheme="majorBidi"/>
          <w:sz w:val="24"/>
          <w:szCs w:val="24"/>
        </w:rPr>
        <w:t>M</w:t>
      </w:r>
      <w:r w:rsidRPr="00BE179C">
        <w:rPr>
          <w:rFonts w:asciiTheme="majorBidi" w:hAnsiTheme="majorBidi" w:cstheme="majorBidi"/>
          <w:sz w:val="24"/>
          <w:szCs w:val="24"/>
        </w:rPr>
        <w:t xml:space="preserve">akalenin içeriği, sonuç, bilgi, bulgu ve yorumları konusunda </w:t>
      </w:r>
      <w:r w:rsidR="00EA549D" w:rsidRPr="00EA549D">
        <w:rPr>
          <w:rFonts w:asciiTheme="majorBidi" w:hAnsiTheme="majorBidi" w:cstheme="majorBidi"/>
          <w:color w:val="0070C0"/>
          <w:sz w:val="24"/>
          <w:szCs w:val="24"/>
        </w:rPr>
        <w:t>Journal of Molecular Virology and Immunology</w:t>
      </w:r>
      <w:r w:rsidRPr="00BE179C">
        <w:rPr>
          <w:rFonts w:asciiTheme="majorBidi" w:hAnsiTheme="majorBidi" w:cstheme="majorBidi"/>
          <w:sz w:val="24"/>
          <w:szCs w:val="24"/>
        </w:rPr>
        <w:t xml:space="preserve"> (</w:t>
      </w:r>
      <w:r w:rsidR="00EA549D">
        <w:rPr>
          <w:rFonts w:asciiTheme="majorBidi" w:hAnsiTheme="majorBidi" w:cstheme="majorBidi"/>
          <w:sz w:val="24"/>
          <w:szCs w:val="24"/>
        </w:rPr>
        <w:t>JMVI</w:t>
      </w:r>
      <w:r w:rsidRPr="00BE179C">
        <w:rPr>
          <w:rFonts w:asciiTheme="majorBidi" w:hAnsiTheme="majorBidi" w:cstheme="majorBidi"/>
          <w:sz w:val="24"/>
          <w:szCs w:val="24"/>
        </w:rPr>
        <w:t>) d</w:t>
      </w:r>
      <w:r w:rsidR="00AA1A07" w:rsidRPr="00BE179C">
        <w:rPr>
          <w:rFonts w:asciiTheme="majorBidi" w:hAnsiTheme="majorBidi" w:cstheme="majorBidi"/>
          <w:sz w:val="24"/>
          <w:szCs w:val="24"/>
        </w:rPr>
        <w:t>ergisi</w:t>
      </w:r>
      <w:r w:rsidRPr="00BE179C">
        <w:rPr>
          <w:rFonts w:asciiTheme="majorBidi" w:hAnsiTheme="majorBidi" w:cstheme="majorBidi"/>
          <w:sz w:val="24"/>
          <w:szCs w:val="24"/>
        </w:rPr>
        <w:t>nin sorumluluk taşımadığını kabul ederim.</w:t>
      </w:r>
    </w:p>
    <w:p w14:paraId="32301BEF" w14:textId="77777777" w:rsidR="00AD3265" w:rsidRPr="00BE179C" w:rsidRDefault="00AD3265" w:rsidP="00E16F13">
      <w:pPr>
        <w:spacing w:before="20" w:after="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E179C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BE179C">
        <w:rPr>
          <w:rFonts w:asciiTheme="majorBidi" w:hAnsiTheme="majorBidi" w:cstheme="majorBidi"/>
          <w:sz w:val="24"/>
          <w:szCs w:val="24"/>
        </w:rPr>
        <w:t xml:space="preserve"> Makalenin bilimsel, etik ve hukuki sorumluluğu yazarlara aittir. Makaledeki düşünce ve öneriler ile kaynakların doğruluğu tümüyle yazarların sorumluluğu</w:t>
      </w:r>
      <w:r w:rsidR="00AA1A07" w:rsidRPr="00BE179C">
        <w:rPr>
          <w:rFonts w:asciiTheme="majorBidi" w:hAnsiTheme="majorBidi" w:cstheme="majorBidi"/>
          <w:sz w:val="24"/>
          <w:szCs w:val="24"/>
        </w:rPr>
        <w:t>ndadır</w:t>
      </w:r>
      <w:r w:rsidRPr="00BE179C">
        <w:rPr>
          <w:rFonts w:asciiTheme="majorBidi" w:hAnsiTheme="majorBidi" w:cstheme="majorBidi"/>
          <w:sz w:val="24"/>
          <w:szCs w:val="24"/>
        </w:rPr>
        <w:t>.</w:t>
      </w:r>
    </w:p>
    <w:p w14:paraId="7AAC5BB0" w14:textId="77777777" w:rsidR="00AD3265" w:rsidRPr="00BE179C" w:rsidRDefault="00AD3265" w:rsidP="00192FBE">
      <w:pPr>
        <w:spacing w:before="20" w:after="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E179C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BE179C">
        <w:rPr>
          <w:rFonts w:asciiTheme="majorBidi" w:hAnsiTheme="majorBidi" w:cstheme="majorBidi"/>
          <w:sz w:val="24"/>
          <w:szCs w:val="24"/>
        </w:rPr>
        <w:t xml:space="preserve"> Makalede başka kaynaklardan alınan içerikler </w:t>
      </w:r>
      <w:r w:rsidR="00AA1A07" w:rsidRPr="00BE179C">
        <w:rPr>
          <w:rFonts w:asciiTheme="majorBidi" w:hAnsiTheme="majorBidi" w:cstheme="majorBidi"/>
          <w:sz w:val="24"/>
          <w:szCs w:val="24"/>
        </w:rPr>
        <w:t>varsa, bu içeriklerin</w:t>
      </w:r>
      <w:r w:rsidRPr="00BE179C">
        <w:rPr>
          <w:rFonts w:asciiTheme="majorBidi" w:hAnsiTheme="majorBidi" w:cstheme="majorBidi"/>
          <w:sz w:val="24"/>
          <w:szCs w:val="24"/>
        </w:rPr>
        <w:t xml:space="preserve"> (metin, resim, sekil, tablo, grafik vb.) </w:t>
      </w:r>
      <w:r w:rsidR="00AA1A07" w:rsidRPr="00BE179C">
        <w:rPr>
          <w:rFonts w:asciiTheme="majorBidi" w:hAnsiTheme="majorBidi" w:cstheme="majorBidi"/>
          <w:sz w:val="24"/>
          <w:szCs w:val="24"/>
        </w:rPr>
        <w:t xml:space="preserve">kullanılabilmesi için </w:t>
      </w:r>
      <w:r w:rsidRPr="00BE179C">
        <w:rPr>
          <w:rFonts w:asciiTheme="majorBidi" w:hAnsiTheme="majorBidi" w:cstheme="majorBidi"/>
          <w:sz w:val="24"/>
          <w:szCs w:val="24"/>
        </w:rPr>
        <w:t>telif hakkı sahibi olan kişi ve kuruluşlardan gerekli izinlerin alındığını, bu konudaki tüm maddi ve yasal sorumluluğun tarafıma ait olduğunu kabul ederim.</w:t>
      </w:r>
    </w:p>
    <w:p w14:paraId="41467429" w14:textId="77777777" w:rsidR="00AD3265" w:rsidRPr="00BE179C" w:rsidRDefault="00AD3265" w:rsidP="00192FBE">
      <w:pPr>
        <w:spacing w:before="20" w:after="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E179C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AA1A07" w:rsidRPr="00BE179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BE179C">
        <w:rPr>
          <w:rFonts w:asciiTheme="majorBidi" w:hAnsiTheme="majorBidi" w:cstheme="majorBidi"/>
          <w:sz w:val="24"/>
          <w:szCs w:val="24"/>
        </w:rPr>
        <w:t xml:space="preserve">Yukarıdaki çalışma </w:t>
      </w:r>
      <w:r w:rsidR="00AA1A07" w:rsidRPr="00BE179C">
        <w:rPr>
          <w:rFonts w:asciiTheme="majorBidi" w:hAnsiTheme="majorBidi" w:cstheme="majorBidi"/>
          <w:sz w:val="24"/>
          <w:szCs w:val="24"/>
        </w:rPr>
        <w:t xml:space="preserve">yazarların </w:t>
      </w:r>
      <w:r w:rsidRPr="00BE179C">
        <w:rPr>
          <w:rFonts w:asciiTheme="majorBidi" w:hAnsiTheme="majorBidi" w:cstheme="majorBidi"/>
          <w:sz w:val="24"/>
          <w:szCs w:val="24"/>
        </w:rPr>
        <w:t>iş</w:t>
      </w:r>
      <w:r w:rsidR="00AA1A07" w:rsidRPr="00BE179C">
        <w:rPr>
          <w:rFonts w:asciiTheme="majorBidi" w:hAnsiTheme="majorBidi" w:cstheme="majorBidi"/>
          <w:sz w:val="24"/>
          <w:szCs w:val="24"/>
        </w:rPr>
        <w:t>lerin</w:t>
      </w:r>
      <w:r w:rsidRPr="00BE179C">
        <w:rPr>
          <w:rFonts w:asciiTheme="majorBidi" w:hAnsiTheme="majorBidi" w:cstheme="majorBidi"/>
          <w:sz w:val="24"/>
          <w:szCs w:val="24"/>
        </w:rPr>
        <w:t>in bir parçası olarak yapılmış olup toplum tarafından kullanıma açıktır.</w:t>
      </w:r>
    </w:p>
    <w:p w14:paraId="46E3213C" w14:textId="77777777" w:rsidR="00AD3265" w:rsidRDefault="00AD3265" w:rsidP="00192FBE">
      <w:pPr>
        <w:spacing w:before="20" w:after="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E179C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AA1A07" w:rsidRPr="00BE179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BE179C">
        <w:rPr>
          <w:rFonts w:asciiTheme="majorBidi" w:hAnsiTheme="majorBidi" w:cstheme="majorBidi"/>
          <w:sz w:val="24"/>
          <w:szCs w:val="24"/>
        </w:rPr>
        <w:t xml:space="preserve">Makalenin her türlü yayın hakkı, </w:t>
      </w:r>
      <w:r w:rsidR="00EA549D">
        <w:rPr>
          <w:rFonts w:asciiTheme="majorBidi" w:hAnsiTheme="majorBidi" w:cstheme="majorBidi"/>
          <w:sz w:val="24"/>
          <w:szCs w:val="24"/>
        </w:rPr>
        <w:t>JMVI</w:t>
      </w:r>
      <w:r w:rsidR="00AA1A07" w:rsidRPr="00BE179C">
        <w:rPr>
          <w:rFonts w:asciiTheme="majorBidi" w:hAnsiTheme="majorBidi" w:cstheme="majorBidi"/>
          <w:sz w:val="24"/>
          <w:szCs w:val="24"/>
        </w:rPr>
        <w:t xml:space="preserve"> dergisi</w:t>
      </w:r>
      <w:r w:rsidRPr="00BE179C">
        <w:rPr>
          <w:rFonts w:asciiTheme="majorBidi" w:hAnsiTheme="majorBidi" w:cstheme="majorBidi"/>
          <w:sz w:val="24"/>
          <w:szCs w:val="24"/>
        </w:rPr>
        <w:t xml:space="preserve">ne aittir. Bu </w:t>
      </w:r>
      <w:r w:rsidR="00AA1A07" w:rsidRPr="00BE179C">
        <w:rPr>
          <w:rFonts w:asciiTheme="majorBidi" w:hAnsiTheme="majorBidi" w:cstheme="majorBidi"/>
          <w:sz w:val="24"/>
          <w:szCs w:val="24"/>
        </w:rPr>
        <w:t>başvuru</w:t>
      </w:r>
      <w:r w:rsidRPr="00BE179C">
        <w:rPr>
          <w:rFonts w:asciiTheme="majorBidi" w:hAnsiTheme="majorBidi" w:cstheme="majorBidi"/>
          <w:sz w:val="24"/>
          <w:szCs w:val="24"/>
        </w:rPr>
        <w:t xml:space="preserve"> ile</w:t>
      </w:r>
      <w:r w:rsidR="00AA1A07" w:rsidRPr="00BE179C">
        <w:rPr>
          <w:rFonts w:asciiTheme="majorBidi" w:hAnsiTheme="majorBidi" w:cstheme="majorBidi"/>
          <w:sz w:val="24"/>
          <w:szCs w:val="24"/>
        </w:rPr>
        <w:t xml:space="preserve"> </w:t>
      </w:r>
      <w:r w:rsidRPr="00BE179C">
        <w:rPr>
          <w:rFonts w:asciiTheme="majorBidi" w:hAnsiTheme="majorBidi" w:cstheme="majorBidi"/>
          <w:sz w:val="24"/>
          <w:szCs w:val="24"/>
        </w:rPr>
        <w:t xml:space="preserve">makalemizin </w:t>
      </w:r>
      <w:r w:rsidR="00AA1A07" w:rsidRPr="00BE179C">
        <w:rPr>
          <w:rFonts w:asciiTheme="majorBidi" w:hAnsiTheme="majorBidi" w:cstheme="majorBidi"/>
          <w:sz w:val="24"/>
          <w:szCs w:val="24"/>
        </w:rPr>
        <w:t>değerlendirme</w:t>
      </w:r>
      <w:r w:rsidRPr="00BE179C">
        <w:rPr>
          <w:rFonts w:asciiTheme="majorBidi" w:hAnsiTheme="majorBidi" w:cstheme="majorBidi"/>
          <w:sz w:val="24"/>
          <w:szCs w:val="24"/>
        </w:rPr>
        <w:t xml:space="preserve"> ve düzeltilmesinin yapılma haklarını, imza yetkisi, kopyalama ve </w:t>
      </w:r>
      <w:r w:rsidR="00AA1A07" w:rsidRPr="00BE179C">
        <w:rPr>
          <w:rFonts w:asciiTheme="majorBidi" w:hAnsiTheme="majorBidi" w:cstheme="majorBidi"/>
          <w:sz w:val="24"/>
          <w:szCs w:val="24"/>
        </w:rPr>
        <w:t>başka</w:t>
      </w:r>
      <w:r w:rsidRPr="00BE179C">
        <w:rPr>
          <w:rFonts w:asciiTheme="majorBidi" w:hAnsiTheme="majorBidi" w:cstheme="majorBidi"/>
          <w:sz w:val="24"/>
          <w:szCs w:val="24"/>
        </w:rPr>
        <w:t xml:space="preserve"> </w:t>
      </w:r>
      <w:r w:rsidR="00AA1A07" w:rsidRPr="00BE179C">
        <w:rPr>
          <w:rFonts w:asciiTheme="majorBidi" w:hAnsiTheme="majorBidi" w:cstheme="majorBidi"/>
          <w:sz w:val="24"/>
          <w:szCs w:val="24"/>
        </w:rPr>
        <w:t>şekillerde çoğaltılmasını</w:t>
      </w:r>
      <w:r w:rsidRPr="00BE179C">
        <w:rPr>
          <w:rFonts w:asciiTheme="majorBidi" w:hAnsiTheme="majorBidi" w:cstheme="majorBidi"/>
          <w:sz w:val="24"/>
          <w:szCs w:val="24"/>
        </w:rPr>
        <w:t xml:space="preserve"> da içeren yayın ve basım haklarını </w:t>
      </w:r>
      <w:r w:rsidR="00EA549D">
        <w:rPr>
          <w:rFonts w:asciiTheme="majorBidi" w:hAnsiTheme="majorBidi" w:cstheme="majorBidi"/>
          <w:sz w:val="24"/>
          <w:szCs w:val="24"/>
        </w:rPr>
        <w:t>JMVI</w:t>
      </w:r>
      <w:r w:rsidR="00AA1A07" w:rsidRPr="00BE179C">
        <w:rPr>
          <w:rFonts w:asciiTheme="majorBidi" w:hAnsiTheme="majorBidi" w:cstheme="majorBidi"/>
          <w:sz w:val="24"/>
          <w:szCs w:val="24"/>
        </w:rPr>
        <w:t xml:space="preserve"> dergisi</w:t>
      </w:r>
      <w:r w:rsidRPr="00BE179C">
        <w:rPr>
          <w:rFonts w:asciiTheme="majorBidi" w:hAnsiTheme="majorBidi" w:cstheme="majorBidi"/>
          <w:sz w:val="24"/>
          <w:szCs w:val="24"/>
        </w:rPr>
        <w:t>ne</w:t>
      </w:r>
      <w:r w:rsidR="00AA1A07" w:rsidRPr="00BE179C">
        <w:rPr>
          <w:rFonts w:asciiTheme="majorBidi" w:hAnsiTheme="majorBidi" w:cstheme="majorBidi"/>
          <w:sz w:val="24"/>
          <w:szCs w:val="24"/>
        </w:rPr>
        <w:t xml:space="preserve"> devrediyorum</w:t>
      </w:r>
      <w:r w:rsidRPr="00BE179C">
        <w:rPr>
          <w:rFonts w:asciiTheme="majorBidi" w:hAnsiTheme="majorBidi" w:cstheme="majorBidi"/>
          <w:sz w:val="24"/>
          <w:szCs w:val="24"/>
        </w:rPr>
        <w:t>.</w:t>
      </w:r>
    </w:p>
    <w:p w14:paraId="127EDA8F" w14:textId="77777777" w:rsidR="00E16F13" w:rsidRPr="00E16F13" w:rsidRDefault="00E16F13" w:rsidP="00192FBE">
      <w:pPr>
        <w:spacing w:before="20" w:after="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E16F13">
        <w:rPr>
          <w:rFonts w:asciiTheme="majorBidi" w:hAnsiTheme="majorBidi" w:cstheme="majorBidi"/>
          <w:b/>
          <w:bCs/>
          <w:sz w:val="24"/>
          <w:szCs w:val="24"/>
        </w:rPr>
        <w:t>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6F13">
        <w:rPr>
          <w:rFonts w:asciiTheme="majorBidi" w:hAnsiTheme="majorBidi" w:cstheme="majorBidi"/>
          <w:sz w:val="24"/>
          <w:szCs w:val="24"/>
        </w:rPr>
        <w:t>Bununla birlikte yazarların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6F13">
        <w:rPr>
          <w:rFonts w:asciiTheme="majorBidi" w:hAnsiTheme="majorBidi" w:cstheme="majorBidi"/>
          <w:sz w:val="24"/>
          <w:szCs w:val="24"/>
        </w:rPr>
        <w:t>aşağıdaki hakları saklıdır</w:t>
      </w:r>
      <w:r w:rsidR="00192FBE">
        <w:rPr>
          <w:rFonts w:asciiTheme="majorBidi" w:hAnsiTheme="majorBidi" w:cstheme="majorBidi"/>
          <w:sz w:val="24"/>
          <w:szCs w:val="24"/>
        </w:rPr>
        <w:t>, fakat</w:t>
      </w:r>
      <w:r w:rsidRPr="00E16F13">
        <w:rPr>
          <w:rFonts w:asciiTheme="majorBidi" w:hAnsiTheme="majorBidi" w:cstheme="majorBidi"/>
          <w:sz w:val="24"/>
          <w:szCs w:val="24"/>
        </w:rPr>
        <w:t xml:space="preserve"> bütün durumlarda makalenin </w:t>
      </w:r>
      <w:r w:rsidR="00EA549D">
        <w:rPr>
          <w:rFonts w:asciiTheme="majorBidi" w:hAnsiTheme="majorBidi" w:cstheme="majorBidi"/>
          <w:sz w:val="24"/>
          <w:szCs w:val="24"/>
        </w:rPr>
        <w:t>JMVI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6F13">
        <w:rPr>
          <w:rFonts w:asciiTheme="majorBidi" w:hAnsiTheme="majorBidi" w:cstheme="majorBidi"/>
          <w:sz w:val="24"/>
          <w:szCs w:val="24"/>
        </w:rPr>
        <w:t>tarafından yayımlandığına dair tam olarak referans verilmelidir</w:t>
      </w:r>
      <w:r w:rsidR="00192FBE">
        <w:rPr>
          <w:rFonts w:asciiTheme="majorBidi" w:hAnsiTheme="majorBidi" w:cstheme="majorBidi"/>
          <w:sz w:val="24"/>
          <w:szCs w:val="24"/>
        </w:rPr>
        <w:t>:</w:t>
      </w:r>
    </w:p>
    <w:p w14:paraId="279358AC" w14:textId="77777777" w:rsidR="00E16F13" w:rsidRDefault="00E16F13" w:rsidP="00192FBE">
      <w:pPr>
        <w:spacing w:before="20" w:after="20" w:line="264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(•) </w:t>
      </w:r>
      <w:r w:rsidRPr="00E16F13">
        <w:rPr>
          <w:rFonts w:asciiTheme="majorBidi" w:hAnsiTheme="majorBidi" w:cstheme="majorBidi"/>
          <w:sz w:val="24"/>
          <w:szCs w:val="24"/>
        </w:rPr>
        <w:t>Telif hakkı dışında kalan patent v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Pr="00E16F13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enzeri</w:t>
      </w:r>
      <w:r w:rsidRPr="00E16F13">
        <w:rPr>
          <w:rFonts w:asciiTheme="majorBidi" w:hAnsiTheme="majorBidi" w:cstheme="majorBidi"/>
          <w:sz w:val="24"/>
          <w:szCs w:val="24"/>
        </w:rPr>
        <w:t xml:space="preserve"> bütün tescil edilmiş haklar</w:t>
      </w:r>
      <w:r>
        <w:rPr>
          <w:rFonts w:asciiTheme="majorBidi" w:hAnsiTheme="majorBidi" w:cstheme="majorBidi"/>
          <w:sz w:val="24"/>
          <w:szCs w:val="24"/>
        </w:rPr>
        <w:t xml:space="preserve">. (•) </w:t>
      </w:r>
      <w:r w:rsidRPr="00E16F13">
        <w:rPr>
          <w:rFonts w:asciiTheme="majorBidi" w:hAnsiTheme="majorBidi" w:cstheme="majorBidi"/>
          <w:sz w:val="24"/>
          <w:szCs w:val="24"/>
        </w:rPr>
        <w:t>Yazarın gelecekteki kitap ve dersler gibi çalışmalarında, makalenin tümü ya da bir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6F13">
        <w:rPr>
          <w:rFonts w:asciiTheme="majorBidi" w:hAnsiTheme="majorBidi" w:cstheme="majorBidi"/>
          <w:sz w:val="24"/>
          <w:szCs w:val="24"/>
        </w:rPr>
        <w:t>bölümünü ücret ödemeksizin kullanma hakkı</w:t>
      </w:r>
      <w:r>
        <w:rPr>
          <w:rFonts w:asciiTheme="majorBidi" w:hAnsiTheme="majorBidi" w:cstheme="majorBidi"/>
          <w:sz w:val="24"/>
          <w:szCs w:val="24"/>
        </w:rPr>
        <w:t xml:space="preserve">. (•) </w:t>
      </w:r>
      <w:r w:rsidR="00192FBE">
        <w:rPr>
          <w:rFonts w:asciiTheme="majorBidi" w:hAnsiTheme="majorBidi" w:cstheme="majorBidi"/>
          <w:sz w:val="24"/>
          <w:szCs w:val="24"/>
        </w:rPr>
        <w:t>S</w:t>
      </w:r>
      <w:r w:rsidRPr="00E16F13">
        <w:rPr>
          <w:rFonts w:asciiTheme="majorBidi" w:hAnsiTheme="majorBidi" w:cstheme="majorBidi"/>
          <w:sz w:val="24"/>
          <w:szCs w:val="24"/>
        </w:rPr>
        <w:t xml:space="preserve">atmamak koşulu ile </w:t>
      </w:r>
      <w:r w:rsidR="00192FBE">
        <w:rPr>
          <w:rFonts w:asciiTheme="majorBidi" w:hAnsiTheme="majorBidi" w:cstheme="majorBidi"/>
          <w:sz w:val="24"/>
          <w:szCs w:val="24"/>
        </w:rPr>
        <w:t>makaleyi kendi için</w:t>
      </w:r>
      <w:r w:rsidRPr="00E16F13">
        <w:rPr>
          <w:rFonts w:asciiTheme="majorBidi" w:hAnsiTheme="majorBidi" w:cstheme="majorBidi"/>
          <w:sz w:val="24"/>
          <w:szCs w:val="24"/>
        </w:rPr>
        <w:t xml:space="preserve"> çoğaltma hakkı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ABD8537" w14:textId="77777777" w:rsidR="00065784" w:rsidRPr="00065784" w:rsidRDefault="00065784" w:rsidP="00192FBE">
      <w:pPr>
        <w:spacing w:before="20" w:after="20" w:line="264" w:lineRule="auto"/>
        <w:ind w:left="426"/>
        <w:jc w:val="both"/>
        <w:rPr>
          <w:rFonts w:asciiTheme="majorBidi" w:hAnsiTheme="majorBidi" w:cstheme="majorBidi"/>
          <w:sz w:val="6"/>
          <w:szCs w:val="6"/>
        </w:rPr>
      </w:pPr>
    </w:p>
    <w:p w14:paraId="33AC7ACE" w14:textId="77777777" w:rsidR="00A74D3E" w:rsidRPr="00192FBE" w:rsidRDefault="00A74D3E" w:rsidP="00192FBE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oKlavuzu"/>
        <w:tblW w:w="9649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1929"/>
        <w:gridCol w:w="1930"/>
        <w:gridCol w:w="1929"/>
        <w:gridCol w:w="1932"/>
      </w:tblGrid>
      <w:tr w:rsidR="00BE179C" w:rsidRPr="00BE179C" w14:paraId="00AE5A08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7AEFF2E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179C">
              <w:rPr>
                <w:rFonts w:asciiTheme="majorBidi" w:hAnsiTheme="majorBidi" w:cstheme="majorBidi"/>
                <w:sz w:val="20"/>
                <w:szCs w:val="20"/>
              </w:rPr>
              <w:t>Yazar Adı*</w:t>
            </w:r>
          </w:p>
        </w:tc>
        <w:tc>
          <w:tcPr>
            <w:tcW w:w="1929" w:type="dxa"/>
            <w:vAlign w:val="center"/>
          </w:tcPr>
          <w:p w14:paraId="62472984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179C">
              <w:rPr>
                <w:rFonts w:asciiTheme="majorBidi" w:hAnsiTheme="majorBidi" w:cstheme="majorBidi"/>
                <w:sz w:val="20"/>
                <w:szCs w:val="20"/>
              </w:rPr>
              <w:t>İkinci Adı (varsa)</w:t>
            </w:r>
          </w:p>
        </w:tc>
        <w:tc>
          <w:tcPr>
            <w:tcW w:w="1930" w:type="dxa"/>
            <w:vAlign w:val="center"/>
          </w:tcPr>
          <w:p w14:paraId="5F108870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179C">
              <w:rPr>
                <w:rFonts w:asciiTheme="majorBidi" w:hAnsiTheme="majorBidi" w:cstheme="majorBidi"/>
                <w:sz w:val="20"/>
                <w:szCs w:val="20"/>
              </w:rPr>
              <w:t>Soyadı</w:t>
            </w:r>
          </w:p>
        </w:tc>
        <w:tc>
          <w:tcPr>
            <w:tcW w:w="1929" w:type="dxa"/>
            <w:vAlign w:val="center"/>
          </w:tcPr>
          <w:p w14:paraId="184F2893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179C">
              <w:rPr>
                <w:rFonts w:asciiTheme="majorBidi" w:hAnsiTheme="majorBidi" w:cstheme="majorBidi"/>
                <w:sz w:val="20"/>
                <w:szCs w:val="20"/>
              </w:rPr>
              <w:t>İmzası</w:t>
            </w:r>
          </w:p>
        </w:tc>
        <w:tc>
          <w:tcPr>
            <w:tcW w:w="1930" w:type="dxa"/>
            <w:vAlign w:val="center"/>
          </w:tcPr>
          <w:p w14:paraId="2FD45AD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179C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</w:p>
        </w:tc>
      </w:tr>
      <w:tr w:rsidR="00BE179C" w:rsidRPr="00BE179C" w14:paraId="0CB12F48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3BC0898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46992E1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4134B0EF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1D748995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ACEDAE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7F3CCF6E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046FA2B2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9C1295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25C65B9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7DB71FA1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54550E1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4A8D8880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5AEEAD5D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117DB31D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E4D0959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0C6C5C73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34235556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69AC3BAE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32BA828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382F0BDA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FE67F9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8BA8692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36C97578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3B9CB205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0F7A802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993B20F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222CB61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BE13196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3938302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2E88A34F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05663FD7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3EABBC4D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5D639B5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514BD38A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4FF3B09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74B99F99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4AEDDBC6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22151F1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F574965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72A76175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A52C76F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2710F889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102CAC38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1CD788B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3A5441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6326EF0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7D6D0B2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0B5FCD10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511B5844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211600E5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42D2303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32A5116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0199FBD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129BFBE7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754AA3BF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B78BFEC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267A7C2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0D9BB451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29613E33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194903F9" w14:textId="77777777" w:rsidTr="00DB3BB1">
        <w:trPr>
          <w:trHeight w:val="340"/>
          <w:jc w:val="center"/>
        </w:trPr>
        <w:tc>
          <w:tcPr>
            <w:tcW w:w="1929" w:type="dxa"/>
            <w:vAlign w:val="center"/>
          </w:tcPr>
          <w:p w14:paraId="051B8A70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0C9AA309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236D5A87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3536A0BF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0BC17F9B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179C" w:rsidRPr="00BE179C" w14:paraId="6B856462" w14:textId="77777777" w:rsidTr="00DB3BB1">
        <w:trPr>
          <w:trHeight w:val="216"/>
          <w:jc w:val="center"/>
        </w:trPr>
        <w:tc>
          <w:tcPr>
            <w:tcW w:w="9649" w:type="dxa"/>
            <w:gridSpan w:val="5"/>
            <w:vAlign w:val="center"/>
          </w:tcPr>
          <w:p w14:paraId="212A36CF" w14:textId="77777777" w:rsidR="00BE179C" w:rsidRPr="00BE179C" w:rsidRDefault="00BE179C" w:rsidP="00DB3B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179C">
              <w:rPr>
                <w:rFonts w:asciiTheme="majorBidi" w:hAnsiTheme="majorBidi" w:cstheme="majorBidi"/>
                <w:sz w:val="20"/>
                <w:szCs w:val="20"/>
              </w:rPr>
              <w:t>*Sorumlu yazar ilk satırda yer almalıdır.</w:t>
            </w:r>
          </w:p>
        </w:tc>
      </w:tr>
    </w:tbl>
    <w:p w14:paraId="776904DA" w14:textId="77777777" w:rsidR="00BE179C" w:rsidRPr="00BE179C" w:rsidRDefault="00BE179C" w:rsidP="00192FBE">
      <w:pPr>
        <w:spacing w:after="0" w:line="240" w:lineRule="auto"/>
        <w:jc w:val="both"/>
        <w:rPr>
          <w:rFonts w:asciiTheme="majorBidi" w:hAnsiTheme="majorBidi" w:cstheme="majorBidi"/>
          <w:i/>
          <w:iCs/>
          <w:sz w:val="6"/>
          <w:szCs w:val="6"/>
        </w:rPr>
      </w:pPr>
    </w:p>
    <w:p w14:paraId="12EC05C6" w14:textId="77777777" w:rsidR="00192FBE" w:rsidRPr="00192FBE" w:rsidRDefault="00192FBE" w:rsidP="00E16F13">
      <w:pPr>
        <w:spacing w:after="0" w:line="312" w:lineRule="auto"/>
        <w:jc w:val="both"/>
        <w:rPr>
          <w:rFonts w:asciiTheme="majorBidi" w:hAnsiTheme="majorBidi" w:cstheme="majorBidi"/>
          <w:i/>
          <w:iCs/>
          <w:sz w:val="16"/>
          <w:szCs w:val="16"/>
        </w:rPr>
      </w:pPr>
    </w:p>
    <w:p w14:paraId="03A64A09" w14:textId="77777777" w:rsidR="00AA1A07" w:rsidRPr="00BE179C" w:rsidRDefault="00AA1A07" w:rsidP="00192FBE">
      <w:pPr>
        <w:spacing w:after="0" w:line="264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E179C">
        <w:rPr>
          <w:rFonts w:asciiTheme="majorBidi" w:hAnsiTheme="majorBidi" w:cstheme="majorBidi"/>
          <w:i/>
          <w:iCs/>
          <w:sz w:val="24"/>
          <w:szCs w:val="24"/>
        </w:rPr>
        <w:t xml:space="preserve">Bu form tüm yazarlar tarafından imzalandıktan sonra </w:t>
      </w:r>
      <w:r w:rsidR="00EA549D" w:rsidRPr="00EA549D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Journal of Molecular Virology and Immunology </w:t>
      </w:r>
      <w:r w:rsidRPr="00BE179C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A549D">
        <w:rPr>
          <w:rFonts w:asciiTheme="majorBidi" w:hAnsiTheme="majorBidi" w:cstheme="majorBidi"/>
          <w:i/>
          <w:iCs/>
          <w:sz w:val="24"/>
          <w:szCs w:val="24"/>
        </w:rPr>
        <w:t>JMVI</w:t>
      </w:r>
      <w:r w:rsidRPr="00BE179C">
        <w:rPr>
          <w:rFonts w:asciiTheme="majorBidi" w:hAnsiTheme="majorBidi" w:cstheme="majorBidi"/>
          <w:i/>
          <w:iCs/>
          <w:sz w:val="24"/>
          <w:szCs w:val="24"/>
        </w:rPr>
        <w:t xml:space="preserve">) dergisinin online makale sistemine yüklenmeli veya e-posta yolu ile </w:t>
      </w:r>
      <w:r w:rsidR="00EA549D" w:rsidRPr="00EA549D">
        <w:rPr>
          <w:rFonts w:asciiTheme="majorBidi" w:hAnsiTheme="majorBidi" w:cstheme="majorBidi"/>
          <w:i/>
          <w:iCs/>
          <w:color w:val="0070C0"/>
          <w:sz w:val="24"/>
          <w:szCs w:val="24"/>
        </w:rPr>
        <w:t>tibbiviroloji</w:t>
      </w:r>
      <w:r w:rsidRPr="00EA549D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@gmail.com </w:t>
      </w:r>
      <w:r w:rsidRPr="00BE179C">
        <w:rPr>
          <w:rFonts w:asciiTheme="majorBidi" w:hAnsiTheme="majorBidi" w:cstheme="majorBidi"/>
          <w:i/>
          <w:iCs/>
          <w:sz w:val="24"/>
          <w:szCs w:val="24"/>
        </w:rPr>
        <w:t>adresine gönderilmelidir.</w:t>
      </w:r>
    </w:p>
    <w:sectPr w:rsidR="00AA1A07" w:rsidRPr="00BE179C" w:rsidSect="009056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DD"/>
    <w:rsid w:val="00065784"/>
    <w:rsid w:val="001069DB"/>
    <w:rsid w:val="00192FBE"/>
    <w:rsid w:val="001E2A36"/>
    <w:rsid w:val="0036197A"/>
    <w:rsid w:val="00537D2E"/>
    <w:rsid w:val="00553FDD"/>
    <w:rsid w:val="00872FEB"/>
    <w:rsid w:val="008C48AA"/>
    <w:rsid w:val="00905613"/>
    <w:rsid w:val="00A74D3E"/>
    <w:rsid w:val="00AA1A07"/>
    <w:rsid w:val="00AD3265"/>
    <w:rsid w:val="00BE179C"/>
    <w:rsid w:val="00C25855"/>
    <w:rsid w:val="00DB3BB1"/>
    <w:rsid w:val="00E16F13"/>
    <w:rsid w:val="00E175F7"/>
    <w:rsid w:val="00E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63CD"/>
  <w15:chartTrackingRefBased/>
  <w15:docId w15:val="{2EFA96C6-17E5-4380-9AAC-C6AC794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265"/>
    <w:pPr>
      <w:ind w:left="720"/>
      <w:contextualSpacing/>
    </w:pPr>
  </w:style>
  <w:style w:type="table" w:styleId="TabloKlavuzu">
    <w:name w:val="Table Grid"/>
    <w:basedOn w:val="NormalTablo"/>
    <w:uiPriority w:val="39"/>
    <w:rsid w:val="00AA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subject/>
  <dc:creator>Fatih ŞAHİNER</dc:creator>
  <cp:keywords>Tıbbi Viroloji; Tıbbi İmmünoloji; Tıbbi Mikrobiyoloji; Tıbbi Parazitoloji; Enfeksiyon Hastalıkları; ‎Moleküler Mikrobiyoloji; Tıbbi Mikoloji</cp:keywords>
  <dc:description>Journal of Molecular Virology and Immunology</dc:description>
  <cp:lastModifiedBy>FATIH SAHINER</cp:lastModifiedBy>
  <cp:revision>16</cp:revision>
  <cp:lastPrinted>2020-06-23T16:45:00Z</cp:lastPrinted>
  <dcterms:created xsi:type="dcterms:W3CDTF">2019-12-23T13:55:00Z</dcterms:created>
  <dcterms:modified xsi:type="dcterms:W3CDTF">2022-02-07T21:34:00Z</dcterms:modified>
</cp:coreProperties>
</file>